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工程质量检测机构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为了加强对建设工程质量检测（以下简称“质量检测”）的资质管理，根据《建设工程质量管理条例》《建设工程质量检测管理办法》，制定本标准。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 总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标准包括建设工程质量检测机构（以下简称“检测机构”）资质相应机构的资历及信誉、主要技术人员、检测设备及场所、管理水平等内容（见附件1:主要技术人员配备表；附件2：检测专项及检测能力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（二）检测机构资质分为二个类别：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1.综合资质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综合资质是指包括全部专项资质的检测机构资质。</w:t>
      </w:r>
    </w:p>
    <w:p>
      <w:pPr>
        <w:adjustRightInd/>
        <w:snapToGrid/>
        <w:spacing w:line="240" w:lineRule="auto"/>
        <w:ind w:firstLine="640" w:firstLineChars="200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2.专项资质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专项资质包括：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建筑材料及构配件、主体结构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装饰装修、钢结构、地基基础、建筑节能、建筑幕墙、市政工程材料、道路工程、桥梁及地下工程等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9个检测机构专项资质。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检测机构资质不分等级。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本标准中要求的主要技术人员（含注册人员），年龄限60周岁及以下。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二、标  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1.资历和信誉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有独立法人资格的企业、事业单位，或依法设立的合伙企业，且具有6年以上质量检测经历。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具有建筑材料及构配件（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或市政工程材料）、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主体结构及装饰装修、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建筑节能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、钢结构、地基基础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个专项资质和其它2个专项资质。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3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社会信誉良好，近3年未发生过一般及以上工程质量安全责任事故。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2.主要技术人员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技术负责人、质量负责人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具有8年以上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检测工作经历及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正高级技术职称。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一级注册结构工程师不少于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名，注册土木工程师（岩土）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3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质量检测人员不少于100人，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技术职称人员不少于40人，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以上技术职称人员不少于20人，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3.检测设备及场所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质量检测设备设施齐全，检测仪器设备功能、量程、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，以及配套设备设施满足“检测专项及检测能力表”相应专项资质所需的必备参数要求。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有满足工作需要的固定工作场所及质量检测场所，主要固定场所建筑面积不少于2000m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4.管理水平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有完善的组织机构和质量管理体系，通过ISO9001质量管理体系认证。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有完善的信息化管理系统，实现检测业务受理、检测数据采集、检测信息上传、检测报告出具、检测档案管理等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质量检测活动全过程可追溯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1.资历和信誉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有独立法人资格的企业、事业单位，或依法设立的合伙企业。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主体结构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装饰装修、钢结构、地基基础、建筑幕墙、道路工程、桥梁及地下工程等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专项资质，应当具有3年以上质量检测经历。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3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社会信誉良好，近3年未发生过一般及以上工程质量安全责任事故。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2.主要技术人员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技术负责人、质量负责人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检测工作经历及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主要技术人员数量不少于“主要技术人员配备表”规定的人数。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3.检测设备及场所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质量检测设备设施基本齐全，检测设备仪器功能、量程、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，以及配套设备设施满足“检测专项及检测能力表”专项资质相应的必备参数要求。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有满足工作需要的固定工作场所及质量检测场所，主要固定场所建筑面积不少于600m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4.管理水平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有完善的组织机构和质量管理体系，有健全的技术、档案等管理制度。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有信息化管理系统，实现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质量检测活动全过程可追溯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三、业务范围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（一）综合资质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承担所有专项资质中已取得检测参数的检测业务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（二）专项资质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承担所取得专项资质范围内已取得检测参数的检测业务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四、附  则</w:t>
      </w:r>
    </w:p>
    <w:p>
      <w:pPr>
        <w:adjustRightInd/>
        <w:snapToGrid/>
        <w:spacing w:line="240" w:lineRule="auto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（一）质量检测人员是指从事检测试验、检测数据处理、检测报告出具等检测活动的人员。</w:t>
      </w:r>
    </w:p>
    <w:p>
      <w:pPr>
        <w:adjustRightInd/>
        <w:snapToGrid/>
        <w:spacing w:line="240" w:lineRule="auto"/>
        <w:ind w:firstLine="640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（二）本标准的“以上”、“以下”、“不少于”均包含本数。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（三）本标准自2023年1月1日起施行。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（四）本标准由住房和城乡建设部负责解释。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5" w:h="16838"/>
          <w:pgMar w:top="1803" w:right="1440" w:bottom="1803" w:left="1440" w:header="851" w:footer="992" w:gutter="0"/>
          <w:cols w:space="720" w:num="1"/>
          <w:rtlGutter w:val="0"/>
          <w:docGrid w:type="lines" w:linePitch="32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right="-166" w:rightChars="-79" w:hanging="9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主要技术人员配备表</w:t>
      </w:r>
    </w:p>
    <w:tbl>
      <w:tblPr>
        <w:tblStyle w:val="13"/>
        <w:tblW w:w="14173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89"/>
        <w:gridCol w:w="5216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zh-CN" w:eastAsia="zh-CN"/>
              </w:rPr>
              <w:t>序号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zh-CN" w:eastAsia="zh-CN"/>
              </w:rPr>
              <w:t>专项资质</w:t>
            </w:r>
          </w:p>
        </w:tc>
        <w:tc>
          <w:tcPr>
            <w:tcW w:w="1124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zh-CN" w:eastAsia="zh-CN"/>
              </w:rPr>
              <w:t>主要技术人员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Merge w:val="continue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Merge w:val="continue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216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zh-CN" w:eastAsia="zh-CN"/>
              </w:rPr>
              <w:t>注册人员</w:t>
            </w:r>
          </w:p>
        </w:tc>
        <w:tc>
          <w:tcPr>
            <w:tcW w:w="6030" w:type="dxa"/>
            <w:vAlign w:val="top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质量检测人员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建筑材料及构配件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工程类专业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以上技术职称人员不少于4人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且具有3年以上质量检测工作经历。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主体结构及装饰装修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不少于1名一级注册结构工程师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,且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具有2年以上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检测工作经历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以上技术职称人员不少于6人，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以上技术职称人员不少于3人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，且具有3年以上质量检测工作经历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钢结构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不少于1名一级注册结构工程师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检测工作经历。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专业中级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以上技术职称人员不少于6人，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专业高级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以上技术职称人员不少于3人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，且具有3年以上质量检测工作经历；3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级无损检测人员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级无损检测人员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地基基础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不少于1名注册土木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（岩土）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，且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检测工作经历。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以上技术职称人员不少于6人，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以上技术职称人员不少于3人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，且具有3年以上质量检测工作经历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建筑节能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工程类专业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以上技术职称人员不少于4人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且具有3年以上质量检测工作经历。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建筑幕墙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以上技术职称人员不少于6人，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以上技术职称人员不少于3人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，且具有3年以上质量检测工作经历。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市政工程材料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工程类专业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以上技术职称人员不少于4人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且具有3年以上质量检测工作经历。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道路工程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以上技术职称人员不少于6人，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以上技术职称人员不少于3人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，且具有3年以上质量检测工作经历。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桥梁及地下工程</w:t>
            </w:r>
          </w:p>
        </w:tc>
        <w:tc>
          <w:tcPr>
            <w:tcW w:w="521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不少于1名一级注册结构工程师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1名注册土木工程师（岩土）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具有2年以上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检测工作经历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030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不少于20人，其中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以上技术职称人员不少于6人，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以上技术职称人员不少于3人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，且具有3年以上质量检测工作经历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检测专项及检测能力表</w:t>
      </w:r>
    </w:p>
    <w:tbl>
      <w:tblPr>
        <w:tblStyle w:val="12"/>
        <w:tblW w:w="13350" w:type="dxa"/>
        <w:jc w:val="center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82"/>
        <w:gridCol w:w="697"/>
        <w:gridCol w:w="1619"/>
        <w:gridCol w:w="4550"/>
        <w:gridCol w:w="5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检测专项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编号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参数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可选参数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一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建筑材料及构配件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水泥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凝结时间、安定性、胶砂强度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氯离子含量、保水率、氧化镁、碱含量、三氧化硫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钢筋（含焊接与机械连接）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屈服强度、抗拉强度、断后伸长率、最大力下总延伸率、反向弯曲、重量偏差、残余变形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弯曲性能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骨料/集料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细骨料：颗粒级配、含泥量、泥块含量、氯离子含量、亚甲蓝值与石粉含量（人工砂）、压碎指标（人工砂）</w:t>
            </w:r>
          </w:p>
        </w:tc>
        <w:tc>
          <w:tcPr>
            <w:tcW w:w="50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表观密度、吸水率、坚固性、碱活性、硫化物和硫酸盐含量、轻物质含量、有机物含量、贝壳含量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1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粗骨料：颗粒级配、含泥量、泥块含量、压碎值指标、针片状颗粒含量</w:t>
            </w:r>
          </w:p>
        </w:tc>
        <w:tc>
          <w:tcPr>
            <w:tcW w:w="50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坚固性、碱活性、表观密度、堆积密度、空隙率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轻集料：筒压强度、堆积密度、吸水率、粒型系数、筛分析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砖、砌块、瓦、墙板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抗压强度、抗折强度、抗冻性能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干密度、吸水率、抗渗性能、抗弯曲性能（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承载力）、耐急冷急热性、抗冲击性能、抗弯破坏荷载、吊挂力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防水材料及防水密封材料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防水卷材：可溶物含量、拉力、延伸率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最大力时延伸率）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、低温柔度、热老化后低温柔度、不透水性、耐热度、断裂拉伸强度、断裂伸长率、撕裂强度、接缝剥离强度、搭接缝不透水性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胶粘剂的剪切性能、胶粘剂的剥离性能、胶粘带的剪切性能、胶粘带的剥离性能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防水涂料：固体含量、拉伸强度、耐热性、低温柔性、不透水性、断裂伸长率</w:t>
            </w:r>
          </w:p>
        </w:tc>
        <w:tc>
          <w:tcPr>
            <w:tcW w:w="50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潮湿基面粘结强度、涂膜抗渗性、浸水168h后拉伸强度 、浸水168h后断裂伸长率、耐水性、抗折强度、粘结强度、抗渗性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0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防水密封材料及其他防水材料：拉伸模量、定伸粘结性、断裂伸长率</w:t>
            </w:r>
          </w:p>
        </w:tc>
        <w:tc>
          <w:tcPr>
            <w:tcW w:w="50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耐热性、低温柔性、拉伸粘结性、施工度、表干时间、挤出性、弹性恢复率、浸水后定伸粘结性、流动性、单位面积质量、膨润土膨胀指数、渗透系数、滤失量、拉伸强度、撕裂强度、硬度、7d膨胀率、最终膨胀率、耐水性、体积膨胀倍率、压缩永久变形、低温弯折、剥离强度、浸水168h后的剥离强度保持率、拉力、延伸率、固体含量、7d粘结强度、7d抗渗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混凝土及拌合用水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抗压强度、抗渗等级、坍落度、氯离子含量、碱含量、配合比设计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限制膨胀率、抗冻性能、表观密度、含气量、凝结时间、抗折强度、劈裂抗拉强度、静力受压弹性模量、抑制碱-骨料反应有效性、拌合用水（pH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</w:t>
            </w:r>
            <m:oMath>
              <m:sSubSup>
                <m:sSubSupP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SO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2-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up>
              </m:sSubSup>
            </m:oMath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、Cl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、不溶物、可溶物）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混凝土外加剂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减水率、pH值、密度（或细度）、抗压强度比、凝结时间（差）、含气量、氯离子含量、固体含量（或含水率）、碱含量、限制膨胀率、泌水率比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相对耐久性指标、含气量1h经时变化量（坍落度、含气量）、硫酸钠含量、收缩率比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混凝土掺合料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细度、烧失量、需水量比、比表面积、活性指数、流动度比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含水量、三氧化硫、放射性、氯离子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砂浆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抗压强度、稠度、保水率、拉伸粘接强度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分层度、配合比设计、凝结时间、抗渗性能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塑料及金属管材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塑料：静液压强度、落锤冲击试验、外观尺寸、纵向回缩率、交联度、熔融温度、简支梁冲击、炭黑分散度、拉伸屈服应力、密度、爆破压力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管环剥离力、熔体质量流动速率、氧化诱导时间、维卡软化温度、热变形温度、拉伸断裂伸长率、拉伸弹性模量、拉伸强度、炭黑含量、灰分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金属：屈服强度、抗拉强度、伸长率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厚度偏差、截面尺寸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预制混凝土构件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承载力、挠度、裂缝宽度、抗裂检验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外观尺寸、保护层厚度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土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最大干密度、最优含水率、压实系数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瓷砖及石材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吸水率、弯曲强度、放射性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抗冻性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（耐冻融性）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预应力钢绞线*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整根钢绞线最大力、最大力总伸长率、抗拉强度、0.2%屈服力、弹性模量、松弛率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预应力混凝土用锚具夹具及连接器*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外观、尺寸、静载锚固性能、疲劳荷载性能、硬度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预应力混凝土用波纹管*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外观、尺寸、局部横向荷载、弯曲后抗渗漏、环刚度，柔韧性、抗冲击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材料中的有害物质*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放射性、游离甲醛、VOC、苯、甲苯、二甲苯、乙苯、游离甲苯二异氰酸酯（TDI）、氨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建筑消能减震装置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位移相关型阻尼器：屈服承载力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弹性刚度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设计承载力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延性系数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滞回曲线面积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极限位移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极限承载力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速度相关性阻尼器：最大阻尼力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阻尼力与速度相关规律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滞回曲线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极限位移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建筑隔震装置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叠层橡胶隔震支座：竖向压缩刚度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竖向变形性能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竖向极限压应力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当水平位移为支座内部橡胶直径0.55倍状态时的极限压应力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竖向极限拉应力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竖向拉伸刚度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侧向不均匀变形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水平等效刚度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屈服后水平刚度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等效阻尼比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屈服力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水平极限变形能力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建筑摩擦摆隔震支座：竖向压缩变形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竖向承载力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静摩擦系数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动摩擦系数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屈服后刚度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极限剪切变形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铝塑复合板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trike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剥离强度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木材料及构配件*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含水率、弹性模量、静曲强度、钉抗弯强度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加固材料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抗拉强度、抗剪强度、正拉粘结强度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拉强度标准值（纤维复合材）、弹性模量（纤维复合材）和极限伸长率（纤维复合材）、不挥发物含量(结构胶粘剂)、耐湿热老化性能(结构胶粘剂)、单位面积质量（纤维织物）、纤维体积含量（预成型板）、K数（碳纤维织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焊接材料*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抗拉强度、屈服强度、断后伸长率、化学成分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二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主体结构及装饰装修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混凝土结构构件强度、砌体结构构件强度现场检测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混凝土强度（回弹法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钻芯法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回弹-钻芯综合法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超声回弹综合法等）砂浆强度（推出法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筒压法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砂浆片剪切法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回弹法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点荷法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贯入法等）砖强度（回弹法）砌体抗压强度（原位轴压法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扁顶法）砌体抗剪强度（原位单剪法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原位单砖双剪法）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钢筋及保护层厚度检测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钢筋保护层厚度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钢筋数量和间距、钢筋直径、构件中的钢筋锈蚀状况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植筋锚固力检验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锚固承载力现场检验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实体位置与尺寸偏差检测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注：可涵盖砌体、混凝土、木结构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轴线位置、标高、截面尺寸、预制构件套筒、插筋位置、预埋件位置、层间、全高垂直度、平整度、构件挠度、平面外变形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表观及内部缺陷*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外观质量缺陷、内部缺陷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装配式混凝土结构节点*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叠合剪力墙现浇混凝土成型质量、钢筋套筒灌浆连接灌浆饱满性、钢筋浆锚搭接连接灌浆饱满性、外墙板接缝防水性能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结构构件性能试验*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注：可涵盖砌体、混凝土、木结构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混凝土受弯构件结构性能试验、结构构件的静载试验（适用性检验、安全性检验和承载力检验）、结构构件的动力测试（结构动力特性测试和结构动力反应的检测）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木结构*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安装偏差、构件尺寸、含水率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建筑防雷*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接地电阻、绝缘电阻、土壤电阻率、压敏电压、泄漏电流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装饰装修工程*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抹灰砂浆的拉伸粘接强度、垂直度、平整度、阴阳角方正、分格缝直线度、接缝宽度、接缝高低差、外墙防水性能、地面防水性能、建筑外窗气密性、水密性、抗风压性能、后置埋件（或槽式埋件）拉拔力、内墙饰面砖（石）粘结质量外墙饰面砖（石）粘结强度、龙骨尺寸、位置、防腐、抹灰厚度、基层含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室内环境污染物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甲醛、氨、TVOC、苯、氡、甲苯、二甲苯、土壤中的氡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材料的有害物质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甲醛释放量、放射性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三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钢材及焊接材料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屈服强度、抗拉强度、伸长率、厚度偏差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断面收缩率、硬度、冲击韧性、冷弯性能、钢材元素含量（钢材化学分析C、S、P）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焊缝无损检测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外观质量、内部缺陷探伤（超声法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射线法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磁粉法）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钢结构防腐及防火涂装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涂层厚度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涂料粘结强度、涂料抗压强度、涂层附着力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高强度螺栓及普通紧固件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抗滑移系数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硬度、施工终拧扭矩、紧固轴力、扭矩系数、最小拉力载荷（普通紧固件）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安装偏差*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垂直度、弯曲矢高、整体尺寸、安装精度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钢结构变形检测*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构件垂直度、侧向弯曲、结构挠度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钢结构构件结构性能荷载试验*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挠度、应变、承载力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金属屋面*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静态压力抗风掀、动态压力抗风掀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压型钢板*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橡胶垫、密封胶、屋面坡度、细部尺寸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四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地基基础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地基及复合地基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承载力（静载试验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动力触探等）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压实系数（环刀法、灌砂法等）、地基土强度、密实度（动力触探）、变形指标（原位测试）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桩的承载力检测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水平承载力（静载试验法）、竖向抗压承载力（静载试验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自平衡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高应变法等）、竖向抗拔承载力（抗拔静载试验）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桩身完整性检测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桩身完整性（低应变法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声波透射法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钻芯法等）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锚杆抗拔承载力检测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拉拔试验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地下连续墙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墙身完整性（声波透射法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钻芯法等）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墙身混凝土强度（28d试块强度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钻芯法）、成槽质量检测（槽宽、槽深、垂直度等）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水泥土桩强度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水泥土强度（28d试块强度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钻芯法）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灌注桩成孔质量检测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孔深、孔径、垂直度、沉渣厚度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五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建筑节能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保温、绝热材料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导热系数或热阻、密度、压缩强度或抗压强度、垂直于板面方向的抗拉强度、吸水率、燃烧性能、传热系数及热阻、单位面积质量、拉伸粘结强度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粘接材料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拉伸粘接强度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增强加固材料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力学性能、抗腐蚀性能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网孔中心距（偏差）、钢丝网丝径、单位面积质量、断裂伸长率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保温砂浆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抗压强度、干密度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导热系数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剪切强度、拉伸粘结强度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抹面材料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拉伸粘结强度、压折比（或柔韧性）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隔热型材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抗拉强度、抗剪强度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反射隔热材料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半球发射率、太阳光反射比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保温复合板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传热系数或热阻、单位面积质量、拉伸粘结强度及燃烧性能</w:t>
            </w:r>
          </w:p>
        </w:tc>
        <w:tc>
          <w:tcPr>
            <w:tcW w:w="500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建筑外窗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气密性能、水密性能、抗风压性能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传热系数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玻璃的太阳得热系数、可见光透射比、中空玻璃密封性能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节能工程现场检测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钻芯法检测外墙节能构造及保温层厚度、保温板与基层之间的拉伸粘结强度、锚固件的锚固力、外窗气密性能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室内温度、风口的风量、通风与空调系统总风量、风道系统单位风量耗功率空调机组水流量、空调系统冷热水、冷却水循环流量、室外供热管网水力平衡度（仅限采暖地区）、室外供热管网热损失率、照度与照明功率密度、外墙传热系数或热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电线电缆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导体电阻值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燃烧性能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风机盘管机组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供冷量、供热量、风量、水阻力、噪声及功率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透光、部分透光遮阳材料*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太阳光透射比、太阳光反射比、中空玻璃密封性能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供暖通风空调节能工程用材料、构件和设备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风机盘管机组的供冷量、供热量、风量、水阻力、噪声及功率；采暖散热器的单位散热量、金属热强度；绝热材料的导热系数或热阻、密度、吸水率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配电与照明节能工程使用的材料、构件和设备*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照明光源初始光效、照明灯具镇流器能效值、照明灯具效率或灯具能效、照明设备功率、功率因数和谐波含量值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低压配电系统节能性能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用电单位受电端电压允许偏差、用电设备端子处额定电压允许偏差、谐波电压、谐波电流、功率因数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太阳能系统节能工程采用的材料、构件和设备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太阳能集热器的安全性能及热性能；太阳能光伏组件的发电功率及发电效率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太阳能系统检测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太阳能集热系统得热量、集热效率、太阳能保证率；太阳能光伏发电系统年发电量（光电转换效率）、组件背板温度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可再生能源应用系统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太阳能集热器的安全性能及热性能；太阳能热利用系统的太阳能集热系统得热量、集热效率、太阳能保证率；太阳能光伏组件的发电功率及发电效率；太阳能光伏发电系统年发电量和组件背板最高工作温度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六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建筑幕墙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结构密封胶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邵氏硬度、结构胶标准条件下的拉伸粘结强度、相容性、剥离粘结性、石材用密封胶的污染性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耐候胶标准状态下的拉伸模量、石材用结构胶的粘结强度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幕墙玻璃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传热系数、可见光透射比、太阳得热系数、中空玻璃的密封性能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幕墙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气密性能、水密性能、抗风压性能、层间变形性能、后置埋件抗拔承载力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保温隔热性能、隔声性能、采光性能、耐撞击性能、防火性能、防雷性能、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七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市政工程材料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土、无机结合稳定材料常规性能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含水率、液限、塑限、击实、粗粒土和巨粒土最大干密度、承载比（CBR）试验、无侧限抗压强度、水泥或石灰剂量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塑性指数、有机物含量、不均匀系数、0.6mm以下颗粒含量、颗粒分析、有机质含量、易溶盐含量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土工合成材料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拉伸强度、延伸率、梯形撕裂强度、CBR顶破强力、厚度、单位面积质量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垂直渗透系数、刺破强力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石灰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有效钙加氧化镁含量、氧化镁含量、未消化残渣含量、含水量、细度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掺合料（粉煤灰）、钢渣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SiO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、Al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、Fe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、烧失量、细度、比表面积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游离氧化钙、粉化率、 压碎值、颗粒组成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沥青及乳化沥青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针入度、软化点、延度、质量变化、残留针入度比、残留延度、破乳速度、标准黏度、蒸发残留物、弹性恢复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运动黏度、布氏旋转黏度、针入度指数、蜡含量、闪点、动力黏度、溶解度、密度、粒子电荷、1.18mm筛筛上残留物、恩格拉黏度、与粗集料的粘附性、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沥青混合料用粗集料、细集料、矿粉、木质素纤维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粗集料：压碎值、洛杉矶磨耗损失、表观相对密度、吸水率、沥青黏附性、颗粒级配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坚固性、软弱颗粒或软石含量、磨光值、针片状颗粒含量、&lt;0.075mm颗粒含量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细集料：表观相对密度、砂当量、颗粒级配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棱角性、坚固性、含泥量、亚甲蓝值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矿粉：表观相对密度、亲水系数、塑性指数、加热安定性、筛分、含水量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木质素纤维：长度、灰分含量、吸油率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pH值、含水率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沥青混合料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马歇尔稳定度、流值、矿料级配、油石比、密度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动稳定度、残留稳定度、冻融劈裂强度比、配合比设计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路面砖及路缘石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抗压强度、抗折强度、防滑性能、耐磨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抗冻性、透水系数、吸水率 、抗盐冻性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检查井盖、水篦、混凝土模块、防撞墩、隔离墩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承载能力、抗压强度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混凝土排水管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内水压力、外压荷载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尺寸偏差、保护层厚度、外观质量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水泥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凝结时间、安定性、胶砂强度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氯离子含量、保水率、氧化镁、碱含量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骨料/集料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细骨料：颗粒级配、含泥量、泥块含量、氯离子含量、亚甲蓝值与石粉含量（人工砂）、压碎指标（人工砂）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表观密度、吸水率、坚固性、碱活性、硫化物和硫酸盐含量、轻物质含量、有机物含量、贝壳含量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粗骨料：颗粒级配、含泥量、泥块含量、压碎值指标、针片状颗粒含量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坚固性、碱活性、堆积密度、空隙率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轻集料：筒压强度、堆积密度、吸水率、粒型系数、筛分析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钢筋（含焊接与机械连接）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拉伸试验（上屈服强度、下屈服强度、抗拉强度、断后伸长率）、最大力总伸长率、抗剪强度、弯曲试验、反向弯曲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冲击试验（用于钢结构工程时）、冷弯试验、重量偏差、化学成分（C、Si、Mn、P、S）、重量、节距、厚度、伸直性、整根钢绞线最大力、规定非比例延伸力、180 度弯曲试验次数、应力松弛、残余变形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外加剂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减水率、pH值、密度（或细度）、抗压强度比、凝结时间（差）、含气量、氯离子含量、固体含量（或含水率）、碱含量、限制膨胀率、泌水率比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相对耐久性指标、含气量1h经时变化量（坍落度、含气量）、硫酸钠含量、收缩率比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砂浆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抗压强度、稠度、保水率、拉伸粘接强度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分层度、配合比设计、凝结时间、抗渗性能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抗压强度、抗渗等级、坍落度、氯离子含量、碱含量、配合比设计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限制膨胀率、抗冻性能、表观密度、含气量、凝结时间、抗折强度、劈裂抗拉强度、静力受压弹性模量、抑制碱-骨料反应有效性、拌合用水（pH值、</w:t>
            </w:r>
            <m:oMath>
              <m:sSubSup>
                <m:sSubSupP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SO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2-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up>
              </m:sSubSup>
            </m:oMath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、Cl1-、不溶物、可溶物）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防水材料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防水卷材：可溶物含量、拉力、延伸率（最大力时延伸率）、低温柔度、热老化后低温柔度、不透水性、耐热度、断裂拉伸强度、断裂伸长率、撕裂强度、接缝剥离强度、搭接缝不透水性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胶粘剂的剪切性能、胶粘剂的剥离性能、胶粘带的剪切性能、胶粘带的剥离性能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防水涂料：固体含量、拉伸强度、耐热性、低温柔性、不透水性、断裂伸长率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潮湿基面粘结强度、涂膜抗渗性、浸水168h后拉伸强度 、浸水168h后断裂伸长率、耐水性、抗折强度、粘结强度、抗渗性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防水密封材料及其他防水材料：拉伸模量、定伸粘结性、断裂伸长率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耐热性、低温柔性、拉伸粘结性、施工度、表干时间、挤出性、弹性恢复率、浸水后定伸粘结性、流动性、单位面积质量、膨润土膨胀指数、渗透系数、滤失量、拉伸强度、撕裂强度、硬度、7d膨胀率、最终膨胀率、耐水性、体积膨胀倍率、压缩永久变形、低温弯折、剥离强度、浸水168h后的剥离强度保持率、拉力、延伸率、固体含量、7d粘结强度、7d抗渗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水*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pH值、</w:t>
            </w:r>
            <m:oMath>
              <m:sSubSup>
                <m:sSubSupP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SO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eastAsia="宋体" w:cs="宋体"/>
                      <w:color w:val="auto"/>
                      <w:kern w:val="0"/>
                      <w:sz w:val="20"/>
                      <w:szCs w:val="20"/>
                    </w:rPr>
                    <m:t>2-</m:t>
                  </m:r>
                  <m:ctrlPr>
                    <w:rPr>
                      <w:rFonts w:ascii="Cambria Math" w:hAnsi="Cambria Math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m:ctrlPr>
                </m:sup>
              </m:sSubSup>
            </m:oMath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、Cl-、不溶物、可溶物、 凝结时间差、 抗压强度比、碱含量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石材*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干燥、水饱和压缩强度、干燥、水饱和弯曲强度、体积密度、吸水率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螺栓、锚具夹具及连接器*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抗滑移系数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外观、尺寸、静载锚固性能、疲劳荷载性能、硬度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施工终拧扭矩、紧固轴力、扭矩系数、最小拉力载荷（普通紧固件）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八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沥青混合料路面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厚度、压实度、弯沉值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平整度、渗水系数、抗滑、宽度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基层及底基层的常规性能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压实度、弯沉值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平整度、宽度、厚度、强度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路基土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弯沉值、压实度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排水管道工程*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地基承载力、回填土压实度、背后土体密实性、严密性试验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水泥混凝土路面*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平整度、抗滑构造深度、面层厚度、宽度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九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桥梁与地下工程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桥梁结构与构件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静态应变（应力）、动态应变（应力）、位移、模态参数（频率，振型，阻尼比）索力、承载能力、桥梁线形、动态挠度、静态挠度、结构尺寸、轴线偏位、竖直度、混凝土强度及碳化深度、钢筋位置及保护层厚度、氯离子含量、钢筋锈蚀状况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表观质量、内部缺陷、预应力孔道摩阻损失、有效预应力、孔道压浆密实性、风速、温度、加速度、速度、冲击性能、混凝土电阻率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隧道主体结构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断面尺寸、锚杆拉拔力、衬砌厚度、衬砌及背后密实状况、墙面平整度、钢支撑间距、钢筋网格尺寸、锚杆长度、锚杆锚固密实度、管片质量、错台、椭圆度、混凝土强度、钢筋位置及保护层厚度、钢筋锈蚀状况、螺栓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表观及内部缺陷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衬砌内钢筋间距、仰拱厚度、仰拱填充质量、防水层施工质量（缝宽、搭接宽度、固定点间距、气密性）、裂缝、渗漏水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桥梁及附属物外观质量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桥面系外观质量、桥梁上部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外观质量、桥梁下部外观质量、桥梁附属设施外观质量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桥梁支座*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外观、内在质量、竖向压缩变形、抗压弹性模量、极限抗压强度、盆环径向变形、抗剪弹性模量、抗剪粘结性能、抗剪老化、承载力、摩擦系数、转动性能、尺寸偏差、转角试验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桥梁伸缩装置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外观、材料、尺寸偏差、焊接质量、表面处理（表面涂装质量）、装配（橡胶密封带夹持性能、装配公差）、总体性能（变形、防水、承载）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隧道环境*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照度、噪声、一氧化碳浓度、风速、二氧化氮浓度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二氧化碳浓度、二氧化硫浓度、氧浓度、一氧化氮浓度、瓦斯浓度、硫化氢浓度、烟尘浓度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人行天桥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地下通道*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自振频率、线形、地基承载力、变形缝（伸缩缝、沉降缝）、防水层质量（位置、缝宽、搭接长度）、钢筋材料性能、混凝土及砂浆强度、结构厚度、结构允许偏差、栏杆推力、装饰装修质量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综合管廊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主体结构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断面尺寸、衬砌厚度、衬砌密实性、墙面平整度、衬砌内钢筋间距、混凝土强度、钢筋保护层厚度、钢筋锈蚀状况、防水层施工质量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涵洞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主体结构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*</w:t>
            </w:r>
          </w:p>
        </w:tc>
        <w:tc>
          <w:tcPr>
            <w:tcW w:w="4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地基承载力、回填土压实度、混凝土强度、钢筋保护层厚度、断面尺寸、接缝宽度、错台、钢筋锈蚀状况、外观质量</w:t>
            </w:r>
          </w:p>
        </w:tc>
      </w:tr>
    </w:tbl>
    <w:p>
      <w:pPr>
        <w:ind w:firstLine="0" w:firstLineChars="0"/>
        <w:jc w:val="left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备注：带“*”的检测项目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为本专项资质的可选项目。</w:t>
      </w:r>
    </w:p>
    <w:sectPr>
      <w:pgSz w:w="16838" w:h="11906" w:orient="landscape"/>
      <w:pgMar w:top="1800" w:right="1440" w:bottom="1800" w:left="144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altName w:val="Calade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BF90E3"/>
    <w:multiLevelType w:val="singleLevel"/>
    <w:tmpl w:val="FBBF90E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3FB884"/>
    <w:multiLevelType w:val="singleLevel"/>
    <w:tmpl w:val="7A3FB884"/>
    <w:lvl w:ilvl="0" w:tentative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revisionView w:markup="0"/>
  <w:documentProtection w:enforcement="0"/>
  <w:defaultTabStop w:val="420"/>
  <w:drawingGridHorizontalSpacing w:val="210"/>
  <w:drawingGridVerticalSpacing w:val="16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02"/>
    <w:rsid w:val="0007167C"/>
    <w:rsid w:val="000735E4"/>
    <w:rsid w:val="000E1349"/>
    <w:rsid w:val="001D4038"/>
    <w:rsid w:val="001D6BE2"/>
    <w:rsid w:val="00205FD4"/>
    <w:rsid w:val="00210A60"/>
    <w:rsid w:val="00274A6F"/>
    <w:rsid w:val="00307861"/>
    <w:rsid w:val="003754D8"/>
    <w:rsid w:val="003C7DE3"/>
    <w:rsid w:val="003E19E6"/>
    <w:rsid w:val="003F7384"/>
    <w:rsid w:val="0041495F"/>
    <w:rsid w:val="00446DCF"/>
    <w:rsid w:val="004679BD"/>
    <w:rsid w:val="004C5863"/>
    <w:rsid w:val="004D4946"/>
    <w:rsid w:val="005259E2"/>
    <w:rsid w:val="00551A02"/>
    <w:rsid w:val="005927BC"/>
    <w:rsid w:val="005B1D3B"/>
    <w:rsid w:val="005C406B"/>
    <w:rsid w:val="0060349B"/>
    <w:rsid w:val="006F17B9"/>
    <w:rsid w:val="00711F72"/>
    <w:rsid w:val="007A6264"/>
    <w:rsid w:val="007E5E52"/>
    <w:rsid w:val="00846782"/>
    <w:rsid w:val="00861C3D"/>
    <w:rsid w:val="008928BB"/>
    <w:rsid w:val="0092218B"/>
    <w:rsid w:val="009D7CDF"/>
    <w:rsid w:val="00A12591"/>
    <w:rsid w:val="00A16548"/>
    <w:rsid w:val="00AE5B73"/>
    <w:rsid w:val="00B117A0"/>
    <w:rsid w:val="00B1589A"/>
    <w:rsid w:val="00B54522"/>
    <w:rsid w:val="00C73D8D"/>
    <w:rsid w:val="00CF3F07"/>
    <w:rsid w:val="00E20C5B"/>
    <w:rsid w:val="00E905A1"/>
    <w:rsid w:val="00EA4937"/>
    <w:rsid w:val="00EB0C4D"/>
    <w:rsid w:val="00EC40BC"/>
    <w:rsid w:val="00F66B17"/>
    <w:rsid w:val="00F8198E"/>
    <w:rsid w:val="00FB71E7"/>
    <w:rsid w:val="00FC3E75"/>
    <w:rsid w:val="00FD2786"/>
    <w:rsid w:val="025A687B"/>
    <w:rsid w:val="0EE54D94"/>
    <w:rsid w:val="0F47E2DD"/>
    <w:rsid w:val="0F7D3DDC"/>
    <w:rsid w:val="16AB659D"/>
    <w:rsid w:val="27C709C4"/>
    <w:rsid w:val="36092297"/>
    <w:rsid w:val="38B47D8C"/>
    <w:rsid w:val="395D20C8"/>
    <w:rsid w:val="3CD7EE07"/>
    <w:rsid w:val="3E45553D"/>
    <w:rsid w:val="42603865"/>
    <w:rsid w:val="4BED2E5E"/>
    <w:rsid w:val="52421682"/>
    <w:rsid w:val="5BFF53BF"/>
    <w:rsid w:val="5C8C09A3"/>
    <w:rsid w:val="5FDB4BA9"/>
    <w:rsid w:val="5FFE8BCC"/>
    <w:rsid w:val="63EF672B"/>
    <w:rsid w:val="654659E0"/>
    <w:rsid w:val="66E15A9D"/>
    <w:rsid w:val="68347242"/>
    <w:rsid w:val="68775970"/>
    <w:rsid w:val="691D0DBA"/>
    <w:rsid w:val="6A237863"/>
    <w:rsid w:val="6BB5B210"/>
    <w:rsid w:val="6C564FC1"/>
    <w:rsid w:val="6FBFC59C"/>
    <w:rsid w:val="72BDF635"/>
    <w:rsid w:val="73423A53"/>
    <w:rsid w:val="75EAE339"/>
    <w:rsid w:val="75EF0B90"/>
    <w:rsid w:val="793063CB"/>
    <w:rsid w:val="7AAF22E7"/>
    <w:rsid w:val="7B1D378D"/>
    <w:rsid w:val="7E4F78AE"/>
    <w:rsid w:val="8FF2529D"/>
    <w:rsid w:val="97BF5551"/>
    <w:rsid w:val="99F727CD"/>
    <w:rsid w:val="BABFA062"/>
    <w:rsid w:val="BFB7BA47"/>
    <w:rsid w:val="DE65E06A"/>
    <w:rsid w:val="EB998D30"/>
    <w:rsid w:val="EEFE19AF"/>
    <w:rsid w:val="EF3A724B"/>
    <w:rsid w:val="EFFF29A6"/>
    <w:rsid w:val="FD8FBF37"/>
    <w:rsid w:val="FFF7D7A7"/>
    <w:rsid w:val="FFF8E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napToGrid w:val="0"/>
      <w:spacing w:line="400" w:lineRule="atLeast"/>
    </w:pPr>
    <w:rPr>
      <w:kern w:val="0"/>
    </w:rPr>
  </w:style>
  <w:style w:type="paragraph" w:styleId="3">
    <w:name w:val="annotation subject"/>
    <w:basedOn w:val="4"/>
    <w:next w:val="4"/>
    <w:link w:val="7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7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7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6"/>
    <w:qFormat/>
    <w:uiPriority w:val="99"/>
    <w:rPr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23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  <w:u w:val="single"/>
    </w:rPr>
  </w:style>
  <w:style w:type="paragraph" w:customStyle="1" w:styleId="2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  <w:u w:val="single"/>
    </w:rPr>
  </w:style>
  <w:style w:type="paragraph" w:customStyle="1" w:styleId="25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  <w:u w:val="single"/>
    </w:rPr>
  </w:style>
  <w:style w:type="paragraph" w:customStyle="1" w:styleId="26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2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16"/>
      <w:szCs w:val="16"/>
    </w:rPr>
  </w:style>
  <w:style w:type="paragraph" w:customStyle="1" w:styleId="29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  <w:u w:val="single"/>
    </w:rPr>
  </w:style>
  <w:style w:type="paragraph" w:customStyle="1" w:styleId="30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  <w:u w:val="single"/>
    </w:rPr>
  </w:style>
  <w:style w:type="paragraph" w:customStyle="1" w:styleId="31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  <w:u w:val="single"/>
    </w:rPr>
  </w:style>
  <w:style w:type="paragraph" w:customStyle="1" w:styleId="32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3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5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4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4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  <w:u w:val="single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  <w:u w:val="single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  <w:u w:val="single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  <w:u w:val="single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  <w:u w:val="single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xl9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91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4">
    <w:name w:val="xl92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kern w:val="0"/>
      <w:szCs w:val="21"/>
    </w:rPr>
  </w:style>
  <w:style w:type="paragraph" w:customStyle="1" w:styleId="67">
    <w:name w:val="xl95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44"/>
      <w:szCs w:val="44"/>
    </w:rPr>
  </w:style>
  <w:style w:type="paragraph" w:customStyle="1" w:styleId="68">
    <w:name w:val="xl96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44"/>
      <w:szCs w:val="44"/>
    </w:rPr>
  </w:style>
  <w:style w:type="paragraph" w:customStyle="1" w:styleId="6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1">
    <w:name w:val="xl9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2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4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5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7">
    <w:name w:val="批注框文本 字符"/>
    <w:basedOn w:val="8"/>
    <w:link w:val="5"/>
    <w:semiHidden/>
    <w:qFormat/>
    <w:uiPriority w:val="99"/>
    <w:rPr>
      <w:sz w:val="18"/>
      <w:szCs w:val="18"/>
    </w:rPr>
  </w:style>
  <w:style w:type="character" w:customStyle="1" w:styleId="78">
    <w:name w:val="批注文字 字符"/>
    <w:basedOn w:val="8"/>
    <w:link w:val="4"/>
    <w:semiHidden/>
    <w:qFormat/>
    <w:uiPriority w:val="99"/>
  </w:style>
  <w:style w:type="character" w:customStyle="1" w:styleId="79">
    <w:name w:val="批注主题 字符"/>
    <w:basedOn w:val="78"/>
    <w:link w:val="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1356</Words>
  <Characters>7730</Characters>
  <Lines>64</Lines>
  <Paragraphs>18</Paragraphs>
  <TotalTime>2</TotalTime>
  <ScaleCrop>false</ScaleCrop>
  <LinksUpToDate>false</LinksUpToDate>
  <CharactersWithSpaces>9068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2022-11-02T05:43:00Z</dcterms:created>
  <dc:creator>张 凯</dc:creator>
  <cp:lastModifiedBy>王德礼</cp:lastModifiedBy>
  <cp:lastPrinted>2022-11-05T00:52:00Z</cp:lastPrinted>
  <dcterms:modified xsi:type="dcterms:W3CDTF">2022-11-10T17:03:02Z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</Properties>
</file>